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349"/>
        <w:outlineLv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大连德海水产有限公司入海排污口设置论证公示</w:t>
      </w:r>
    </w:p>
    <w:p>
      <w:pPr>
        <w:pStyle w:val="2"/>
        <w:spacing w:before="214" w:line="396" w:lineRule="auto"/>
        <w:ind w:left="377" w:right="1392" w:firstLine="520"/>
      </w:pPr>
      <w:r>
        <w:rPr>
          <w:b/>
          <w:bCs/>
          <w:spacing w:val="16"/>
        </w:rPr>
        <w:t>根据《辽宁省入海排污口备案管理规定(试行)》和《大连市入海排污口备</w:t>
      </w:r>
      <w:r>
        <w:rPr>
          <w:spacing w:val="1"/>
        </w:rPr>
        <w:t xml:space="preserve"> </w:t>
      </w:r>
      <w:r>
        <w:rPr>
          <w:b/>
          <w:bCs/>
          <w:spacing w:val="8"/>
        </w:rPr>
        <w:t>案和监督管理细则(试行)》的有关规定，现将“大连德海水产有限公司</w:t>
      </w:r>
      <w:r>
        <w:rPr>
          <w:b/>
          <w:bCs/>
          <w:spacing w:val="7"/>
        </w:rPr>
        <w:t>入海排污</w:t>
      </w:r>
    </w:p>
    <w:p>
      <w:pPr>
        <w:pStyle w:val="2"/>
        <w:spacing w:line="219" w:lineRule="auto"/>
        <w:ind w:left="377"/>
      </w:pPr>
      <w:r>
        <w:rPr>
          <w:b/>
          <w:bCs/>
          <w:spacing w:val="8"/>
        </w:rPr>
        <w:t>口设置论证”相关信息予以公示，请广大公众踊跃参加，提出对该入海排污口设</w:t>
      </w:r>
    </w:p>
    <w:p>
      <w:pPr>
        <w:pStyle w:val="2"/>
        <w:spacing w:before="204" w:line="220" w:lineRule="auto"/>
        <w:ind w:left="374"/>
      </w:pPr>
      <w:r>
        <w:rPr>
          <w:spacing w:val="8"/>
        </w:rPr>
        <w:t>置论证方面的要求与建议。</w:t>
      </w:r>
    </w:p>
    <w:p>
      <w:pPr>
        <w:pStyle w:val="2"/>
        <w:spacing w:before="177" w:line="219" w:lineRule="auto"/>
        <w:ind w:left="894"/>
      </w:pPr>
      <w:r>
        <w:rPr>
          <w:spacing w:val="1"/>
        </w:rPr>
        <w:t>一 、建设项目基本情况</w:t>
      </w:r>
    </w:p>
    <w:p>
      <w:pPr>
        <w:pStyle w:val="2"/>
        <w:spacing w:before="168" w:line="430" w:lineRule="exact"/>
        <w:ind w:left="898"/>
      </w:pPr>
      <w:r>
        <w:rPr>
          <w:b/>
          <w:bCs/>
          <w:spacing w:val="16"/>
          <w:position w:val="16"/>
        </w:rPr>
        <w:t>大连德海水产有限公司入海排污口拟设置于大连市经济</w:t>
      </w:r>
      <w:r>
        <w:rPr>
          <w:b/>
          <w:bCs/>
          <w:spacing w:val="15"/>
          <w:position w:val="16"/>
        </w:rPr>
        <w:t>技术开发区大李家</w:t>
      </w:r>
    </w:p>
    <w:p>
      <w:pPr>
        <w:pStyle w:val="2"/>
        <w:spacing w:before="1" w:line="218" w:lineRule="auto"/>
        <w:ind w:left="377"/>
      </w:pPr>
      <w:r>
        <w:rPr>
          <w:b/>
          <w:bCs/>
          <w:spacing w:val="9"/>
        </w:rPr>
        <w:t>街道正明寺村近岸海域，该排污口为大连德海水产有限公司新建排放口，经</w:t>
      </w:r>
      <w:r>
        <w:rPr>
          <w:b/>
          <w:bCs/>
          <w:spacing w:val="8"/>
        </w:rPr>
        <w:t>企业</w:t>
      </w:r>
    </w:p>
    <w:p>
      <w:pPr>
        <w:pStyle w:val="2"/>
        <w:spacing w:before="185" w:line="377" w:lineRule="auto"/>
        <w:ind w:left="374" w:right="1490"/>
        <w:jc w:val="both"/>
      </w:pPr>
      <w:r>
        <w:rPr>
          <w:spacing w:val="10"/>
        </w:rPr>
        <w:t>自行处理后的水产品加工废水汇入排污管线后通过明管设置，岸边排放方式排入</w:t>
      </w:r>
      <w:r>
        <w:rPr>
          <w:spacing w:val="17"/>
        </w:rPr>
        <w:t xml:space="preserve"> </w:t>
      </w:r>
      <w:r>
        <w:rPr>
          <w:spacing w:val="15"/>
        </w:rPr>
        <w:t>近岸海域。企业运行达规模后排水量为3000</w:t>
      </w:r>
      <w:r>
        <w:rPr>
          <w:rFonts w:ascii="Times New Roman" w:hAnsi="Times New Roman" w:eastAsia="Times New Roman" w:cs="Times New Roman"/>
          <w:spacing w:val="15"/>
        </w:rPr>
        <w:t>t</w:t>
      </w:r>
      <w:r>
        <w:rPr>
          <w:rFonts w:ascii="Times New Roman" w:hAnsi="Times New Roman" w:eastAsia="Times New Roman" w:cs="Times New Roman"/>
          <w:spacing w:val="14"/>
        </w:rPr>
        <w:t xml:space="preserve">/d,   </w:t>
      </w:r>
      <w:r>
        <w:rPr>
          <w:spacing w:val="14"/>
        </w:rPr>
        <w:t>出水水质满足《辽宁省污水综</w:t>
      </w:r>
      <w:r>
        <w:t xml:space="preserve"> </w:t>
      </w:r>
      <w:r>
        <w:rPr>
          <w:spacing w:val="2"/>
        </w:rPr>
        <w:t>合排放标准》(</w:t>
      </w:r>
      <w:r>
        <w:t>DB</w:t>
      </w:r>
      <w:r>
        <w:rPr>
          <w:spacing w:val="2"/>
        </w:rPr>
        <w:t>21/1627-2008)   中“直接排放的水污染物最高允许</w:t>
      </w:r>
      <w:r>
        <w:rPr>
          <w:spacing w:val="1"/>
        </w:rPr>
        <w:t>排放浓度”标</w:t>
      </w:r>
    </w:p>
    <w:p>
      <w:pPr>
        <w:pStyle w:val="2"/>
        <w:spacing w:before="1" w:line="216" w:lineRule="auto"/>
        <w:ind w:left="374"/>
      </w:pPr>
      <w:r>
        <w:rPr>
          <w:spacing w:val="11"/>
        </w:rPr>
        <w:t>准，排污口坐标为，东经122.0843988,北纬39.1236738。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69" w:line="219" w:lineRule="auto"/>
        <w:ind w:left="3354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-310515</wp:posOffset>
            </wp:positionV>
            <wp:extent cx="5041900" cy="3613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23" cy="36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w w:val="94"/>
        </w:rPr>
        <w:t>轻沙河街道</w:t>
      </w:r>
    </w:p>
    <w:p>
      <w:pPr>
        <w:pStyle w:val="2"/>
        <w:spacing w:before="128" w:line="220" w:lineRule="auto"/>
        <w:ind w:left="2124"/>
        <w:rPr>
          <w:sz w:val="14"/>
          <w:szCs w:val="14"/>
        </w:rPr>
      </w:pPr>
      <w:r>
        <w:rPr>
          <w:spacing w:val="-2"/>
          <w:sz w:val="14"/>
          <w:szCs w:val="14"/>
        </w:rPr>
        <w:t>项目位置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69" w:line="226" w:lineRule="auto"/>
        <w:ind w:left="2754"/>
      </w:pPr>
      <w:r>
        <w:rPr>
          <w:spacing w:val="-21"/>
          <w:w w:val="91"/>
        </w:rPr>
        <w:t>里.</w:t>
      </w:r>
    </w:p>
    <w:p>
      <w:pPr>
        <w:pStyle w:val="2"/>
        <w:spacing w:before="167" w:line="220" w:lineRule="auto"/>
        <w:ind w:left="4935"/>
      </w:pPr>
      <w:r>
        <w:rPr>
          <w:spacing w:val="-17"/>
        </w:rPr>
        <w:t>项目位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9" w:line="222" w:lineRule="auto"/>
        <w:ind w:left="210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4"/>
          <w:sz w:val="21"/>
          <w:szCs w:val="21"/>
        </w:rPr>
        <w:t>图1</w:t>
      </w:r>
      <w:r>
        <w:rPr>
          <w:rFonts w:ascii="黑体" w:hAnsi="黑体" w:eastAsia="黑体" w:cs="黑体"/>
          <w:spacing w:val="-14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1"/>
          <w:szCs w:val="21"/>
        </w:rPr>
        <w:t>大连德海水产有限公司入海排污口地理位置图</w:t>
      </w:r>
    </w:p>
    <w:p>
      <w:pPr>
        <w:pStyle w:val="2"/>
        <w:spacing w:before="192" w:line="219" w:lineRule="auto"/>
        <w:ind w:left="845"/>
      </w:pPr>
      <w:r>
        <w:rPr>
          <w:spacing w:val="11"/>
        </w:rPr>
        <w:t>二</w:t>
      </w:r>
      <w:r>
        <w:rPr>
          <w:spacing w:val="-36"/>
        </w:rPr>
        <w:t xml:space="preserve"> </w:t>
      </w:r>
      <w:r>
        <w:rPr>
          <w:spacing w:val="11"/>
        </w:rPr>
        <w:t>、与海洋功能区划及相关规划符合性分析</w:t>
      </w:r>
    </w:p>
    <w:p>
      <w:pPr>
        <w:pStyle w:val="2"/>
        <w:spacing w:before="210" w:line="470" w:lineRule="exact"/>
        <w:ind w:left="825"/>
      </w:pPr>
      <w:r>
        <w:rPr>
          <w:spacing w:val="12"/>
          <w:position w:val="20"/>
        </w:rPr>
        <w:t>入海排污口位置处于大连市近岸海域环境功能区划的二类海域，符合《辽宁</w:t>
      </w:r>
    </w:p>
    <w:p>
      <w:pPr>
        <w:pStyle w:val="2"/>
        <w:spacing w:before="1" w:line="219" w:lineRule="auto"/>
        <w:ind w:left="374"/>
      </w:pPr>
      <w:r>
        <w:rPr>
          <w:spacing w:val="13"/>
        </w:rPr>
        <w:t>省水污染防治工作方案》中允许排污口设置海域的相关规定。根据</w:t>
      </w:r>
      <w:r>
        <w:rPr>
          <w:spacing w:val="12"/>
        </w:rPr>
        <w:t>《辽宁省海洋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68" w:line="233" w:lineRule="auto"/>
        <w:ind w:left="8336" w:hanging="81"/>
        <w:rPr>
          <w:rFonts w:ascii="Arial" w:hAnsi="Arial" w:eastAsia="Arial" w:cs="Arial"/>
          <w:sz w:val="11"/>
          <w:szCs w:val="11"/>
        </w:rPr>
      </w:pPr>
      <w:r>
        <w:rPr>
          <w:rFonts w:ascii="黑体" w:hAnsi="黑体" w:eastAsia="黑体" w:cs="黑体"/>
          <w:position w:val="-9"/>
        </w:rPr>
        <w:drawing>
          <wp:inline distT="0" distB="0" distL="0" distR="0">
            <wp:extent cx="227965" cy="2413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584" cy="2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-13"/>
        </w:rPr>
        <w:t>扫描全能王</w:t>
      </w:r>
      <w:r>
        <w:rPr>
          <w:rFonts w:ascii="黑体" w:hAnsi="黑体" w:eastAsia="黑体" w:cs="黑体"/>
          <w:spacing w:val="2"/>
        </w:rPr>
        <w:t xml:space="preserve"> </w:t>
      </w:r>
      <w:r>
        <w:rPr>
          <w:b/>
          <w:bCs/>
          <w:spacing w:val="11"/>
          <w:sz w:val="11"/>
          <w:szCs w:val="11"/>
        </w:rPr>
        <w:t>3亿人都在用的扫指</w:t>
      </w:r>
      <w:r>
        <w:rPr>
          <w:rFonts w:ascii="Arial" w:hAnsi="Arial" w:eastAsia="Arial" w:cs="Arial"/>
          <w:b/>
          <w:bCs/>
          <w:sz w:val="11"/>
          <w:szCs w:val="11"/>
        </w:rPr>
        <w:t>App</w:t>
      </w:r>
    </w:p>
    <w:p>
      <w:pPr>
        <w:spacing w:line="233" w:lineRule="auto"/>
        <w:rPr>
          <w:rFonts w:ascii="Arial" w:hAnsi="Arial" w:eastAsia="Arial" w:cs="Arial"/>
          <w:sz w:val="11"/>
          <w:szCs w:val="11"/>
        </w:rPr>
        <w:sectPr>
          <w:headerReference r:id="rId5" w:type="default"/>
          <w:pgSz w:w="11900" w:h="16840"/>
          <w:pgMar w:top="400" w:right="500" w:bottom="0" w:left="1785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68" w:line="393" w:lineRule="auto"/>
        <w:ind w:left="424" w:right="1527"/>
        <w:jc w:val="both"/>
      </w:pPr>
      <w:r>
        <w:rPr>
          <w:spacing w:val="10"/>
        </w:rPr>
        <w:t>功能区划(2011-2020)》,排污口位于金石滩特殊利用区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(A7-10),     </w:t>
      </w:r>
      <w:r>
        <w:rPr>
          <w:spacing w:val="10"/>
        </w:rPr>
        <w:t>符合其管理</w:t>
      </w:r>
      <w:r>
        <w:t xml:space="preserve"> </w:t>
      </w:r>
      <w:r>
        <w:rPr>
          <w:spacing w:val="9"/>
        </w:rPr>
        <w:t>要求。排污口不占用海洋生态红线，符合国家的相关产业</w:t>
      </w:r>
      <w:r>
        <w:rPr>
          <w:spacing w:val="8"/>
        </w:rPr>
        <w:t>政策，符合国家、辽宁</w:t>
      </w:r>
      <w:r>
        <w:t xml:space="preserve"> </w:t>
      </w:r>
      <w:r>
        <w:rPr>
          <w:spacing w:val="1"/>
        </w:rPr>
        <w:t>省和大连市水污染防治方案的要求，符合《辽宁省海洋环境保护办法》、《大连市</w:t>
      </w:r>
    </w:p>
    <w:p>
      <w:pPr>
        <w:spacing w:line="220" w:lineRule="auto"/>
        <w:ind w:left="42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9"/>
          <w:sz w:val="21"/>
          <w:szCs w:val="21"/>
        </w:rPr>
        <w:t>海洋环境保护条例》等海洋环境保护要求。</w:t>
      </w:r>
    </w:p>
    <w:p>
      <w:pPr>
        <w:pStyle w:val="2"/>
        <w:spacing w:before="200" w:line="219" w:lineRule="auto"/>
        <w:ind w:left="845"/>
      </w:pPr>
      <w:r>
        <w:rPr>
          <w:spacing w:val="6"/>
        </w:rPr>
        <w:t>三</w:t>
      </w:r>
      <w:r>
        <w:rPr>
          <w:spacing w:val="-14"/>
        </w:rPr>
        <w:t xml:space="preserve"> </w:t>
      </w:r>
      <w:r>
        <w:rPr>
          <w:spacing w:val="6"/>
        </w:rPr>
        <w:t>、入海污水主要污染物及排放总量</w:t>
      </w:r>
    </w:p>
    <w:p>
      <w:pPr>
        <w:pStyle w:val="2"/>
        <w:spacing w:before="157" w:line="212" w:lineRule="auto"/>
        <w:ind w:left="845"/>
      </w:pPr>
      <w:r>
        <w:rPr>
          <w:spacing w:val="13"/>
        </w:rPr>
        <w:t>大连德海水产有限公司入海排污口达规模运行后污水排</w:t>
      </w:r>
      <w:r>
        <w:rPr>
          <w:spacing w:val="12"/>
        </w:rPr>
        <w:t>放量达3000</w:t>
      </w:r>
      <w:r>
        <w:rPr>
          <w:rFonts w:ascii="Times New Roman" w:hAnsi="Times New Roman" w:eastAsia="Times New Roman" w:cs="Times New Roman"/>
        </w:rPr>
        <w:t>Vd</w:t>
      </w:r>
      <w:r>
        <w:rPr>
          <w:rFonts w:ascii="Times New Roman" w:hAnsi="Times New Roman" w:eastAsia="Times New Roman" w:cs="Times New Roman"/>
          <w:spacing w:val="12"/>
        </w:rPr>
        <w:t xml:space="preserve">,  </w:t>
      </w:r>
      <w:r>
        <w:rPr>
          <w:spacing w:val="12"/>
        </w:rPr>
        <w:t>排</w:t>
      </w:r>
    </w:p>
    <w:p>
      <w:pPr>
        <w:pStyle w:val="2"/>
        <w:spacing w:before="201" w:line="376" w:lineRule="auto"/>
        <w:ind w:left="424" w:right="1397"/>
      </w:pPr>
      <w:r>
        <w:rPr>
          <w:spacing w:val="11"/>
        </w:rPr>
        <w:t>放方式为间歇性、季节性排放，每年集中在3-6月进行相应的水产品加工生产经</w:t>
      </w:r>
      <w:r>
        <w:rPr>
          <w:spacing w:val="3"/>
        </w:rPr>
        <w:t xml:space="preserve">  </w:t>
      </w:r>
      <w:r>
        <w:t>营活动并排放废水。出水水质达到《辽宁省污水综合排放标准》(DB  21/1627-2008)</w:t>
      </w:r>
    </w:p>
    <w:p>
      <w:pPr>
        <w:pStyle w:val="2"/>
        <w:spacing w:line="214" w:lineRule="auto"/>
        <w:ind w:left="424"/>
      </w:pPr>
      <w:r>
        <w:rPr>
          <w:spacing w:val="-4"/>
        </w:rPr>
        <w:t>中“直接排放的水污染物最高允许排放浓度”标准，具体为：pH:6~9、</w:t>
      </w:r>
      <w:r>
        <w:rPr>
          <w:spacing w:val="52"/>
        </w:rPr>
        <w:t xml:space="preserve"> </w:t>
      </w:r>
      <w:r>
        <w:rPr>
          <w:spacing w:val="-4"/>
        </w:rPr>
        <w:t>悬浮物(SS)</w:t>
      </w:r>
    </w:p>
    <w:p>
      <w:pPr>
        <w:pStyle w:val="2"/>
        <w:spacing w:before="185" w:line="214" w:lineRule="auto"/>
        <w:ind w:left="424"/>
      </w:pPr>
      <w:r>
        <w:rPr>
          <w:spacing w:val="-6"/>
        </w:rPr>
        <w:t>20mgL、  化学需氧量(COD)50mg/L、</w:t>
      </w:r>
      <w:r>
        <w:rPr>
          <w:spacing w:val="16"/>
        </w:rPr>
        <w:t xml:space="preserve">    </w:t>
      </w:r>
      <w:r>
        <w:rPr>
          <w:spacing w:val="-6"/>
        </w:rPr>
        <w:t>总</w:t>
      </w:r>
      <w:r>
        <w:rPr>
          <w:spacing w:val="-33"/>
        </w:rPr>
        <w:t xml:space="preserve"> </w:t>
      </w:r>
      <w:r>
        <w:rPr>
          <w:spacing w:val="-6"/>
        </w:rPr>
        <w:t>氮(TN)15mg/L、    总</w:t>
      </w:r>
      <w:r>
        <w:rPr>
          <w:spacing w:val="-33"/>
        </w:rPr>
        <w:t xml:space="preserve"> </w:t>
      </w:r>
      <w:r>
        <w:rPr>
          <w:spacing w:val="-6"/>
        </w:rPr>
        <w:t>磷(TP)0.5mg/L。</w:t>
      </w:r>
    </w:p>
    <w:p>
      <w:pPr>
        <w:pStyle w:val="2"/>
        <w:spacing w:before="191" w:line="485" w:lineRule="exact"/>
        <w:ind w:left="424"/>
      </w:pPr>
      <w:r>
        <w:rPr>
          <w:spacing w:val="12"/>
          <w:position w:val="21"/>
        </w:rPr>
        <w:t>主要污染物中</w:t>
      </w:r>
      <w:r>
        <w:rPr>
          <w:spacing w:val="-22"/>
          <w:position w:val="21"/>
        </w:rPr>
        <w:t xml:space="preserve"> </w:t>
      </w:r>
      <w:r>
        <w:rPr>
          <w:position w:val="21"/>
        </w:rPr>
        <w:t>CODa</w:t>
      </w:r>
      <w:r>
        <w:rPr>
          <w:spacing w:val="12"/>
          <w:position w:val="21"/>
        </w:rPr>
        <w:t xml:space="preserve">  的排放量为18.3</w:t>
      </w:r>
      <w:r>
        <w:rPr>
          <w:position w:val="21"/>
        </w:rPr>
        <w:t>Va</w:t>
      </w:r>
      <w:r>
        <w:rPr>
          <w:spacing w:val="12"/>
          <w:position w:val="21"/>
        </w:rPr>
        <w:t>, 总氮的排放量为5.49</w:t>
      </w:r>
      <w:r>
        <w:rPr>
          <w:position w:val="21"/>
        </w:rPr>
        <w:t>Va</w:t>
      </w:r>
      <w:r>
        <w:rPr>
          <w:spacing w:val="12"/>
          <w:position w:val="21"/>
        </w:rPr>
        <w:t>, 总磷的排放</w:t>
      </w:r>
    </w:p>
    <w:p>
      <w:pPr>
        <w:pStyle w:val="2"/>
        <w:spacing w:before="1" w:line="220" w:lineRule="auto"/>
        <w:ind w:left="424"/>
      </w:pPr>
      <w:r>
        <w:rPr>
          <w:spacing w:val="-2"/>
        </w:rPr>
        <w:t>量为0.18t/a。</w:t>
      </w:r>
    </w:p>
    <w:p>
      <w:pPr>
        <w:pStyle w:val="2"/>
        <w:spacing w:before="187" w:line="219" w:lineRule="auto"/>
        <w:ind w:left="845"/>
      </w:pPr>
      <w:r>
        <w:rPr>
          <w:spacing w:val="7"/>
        </w:rPr>
        <w:t>四 、入海污水对海域水质和所在近岸海域环境功能</w:t>
      </w:r>
      <w:r>
        <w:rPr>
          <w:spacing w:val="6"/>
        </w:rPr>
        <w:t>区划的影响</w:t>
      </w:r>
    </w:p>
    <w:p>
      <w:pPr>
        <w:pStyle w:val="2"/>
        <w:spacing w:before="161" w:line="219" w:lineRule="auto"/>
        <w:ind w:left="845"/>
      </w:pPr>
      <w:r>
        <w:rPr>
          <w:spacing w:val="12"/>
        </w:rPr>
        <w:t>经过预测，在大连德海水产有限公司开展生产经营活</w:t>
      </w:r>
      <w:r>
        <w:rPr>
          <w:spacing w:val="11"/>
        </w:rPr>
        <w:t>动后，排放的</w:t>
      </w:r>
      <w:r>
        <w:rPr>
          <w:spacing w:val="-32"/>
        </w:rPr>
        <w:t xml:space="preserve"> </w:t>
      </w:r>
      <w:r>
        <w:t>COD</w:t>
      </w:r>
      <w:r>
        <w:rPr>
          <w:spacing w:val="11"/>
        </w:rPr>
        <w:t>、</w:t>
      </w:r>
    </w:p>
    <w:p>
      <w:pPr>
        <w:pStyle w:val="2"/>
        <w:spacing w:before="224" w:line="386" w:lineRule="auto"/>
        <w:ind w:left="424" w:right="1518"/>
        <w:rPr>
          <w:rFonts w:ascii="黑体" w:hAnsi="黑体" w:eastAsia="黑体" w:cs="黑体"/>
        </w:rPr>
      </w:pPr>
      <w:r>
        <w:rPr>
          <w:spacing w:val="13"/>
        </w:rPr>
        <w:t>无机氮和活性磷酸盐在排放口处的最大贡献浓度分别为3.0</w:t>
      </w:r>
      <w:r>
        <w:t>mg</w:t>
      </w:r>
      <w:r>
        <w:rPr>
          <w:spacing w:val="13"/>
        </w:rPr>
        <w:t>/L、1.62</w:t>
      </w:r>
      <w:r>
        <w:t>mg</w:t>
      </w:r>
      <w:r>
        <w:rPr>
          <w:spacing w:val="13"/>
        </w:rPr>
        <w:t>/L 和</w:t>
      </w:r>
      <w:r>
        <w:rPr>
          <w:spacing w:val="15"/>
        </w:rPr>
        <w:t xml:space="preserve"> </w:t>
      </w:r>
      <w:r>
        <w:rPr>
          <w:spacing w:val="6"/>
        </w:rPr>
        <w:t>0.065</w:t>
      </w:r>
      <w:r>
        <w:t>mg</w:t>
      </w:r>
      <w:r>
        <w:rPr>
          <w:spacing w:val="6"/>
        </w:rPr>
        <w:t>/L。</w:t>
      </w:r>
      <w:r>
        <w:rPr>
          <w:spacing w:val="77"/>
        </w:rPr>
        <w:t xml:space="preserve"> </w:t>
      </w:r>
      <w:r>
        <w:rPr>
          <w:spacing w:val="6"/>
        </w:rPr>
        <w:t>在叠加环境本底值后各污染因子均形成超标面积，根据相关规范要</w:t>
      </w:r>
      <w:r>
        <w:t xml:space="preserve"> </w:t>
      </w:r>
      <w:r>
        <w:rPr>
          <w:spacing w:val="4"/>
        </w:rPr>
        <w:t>求设立面积为0.0083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4"/>
        </w:rPr>
        <w:t xml:space="preserve">² </w:t>
      </w:r>
      <w:r>
        <w:rPr>
          <w:spacing w:val="4"/>
        </w:rPr>
        <w:t>的排污混合区，经过</w:t>
      </w:r>
      <w:r>
        <w:rPr>
          <w:spacing w:val="3"/>
        </w:rPr>
        <w:t>水动力稀释混合以及海水自净能力，</w:t>
      </w:r>
      <w:r>
        <w:t xml:space="preserve"> </w:t>
      </w:r>
      <w:r>
        <w:rPr>
          <w:rFonts w:ascii="黑体" w:hAnsi="黑体" w:eastAsia="黑体" w:cs="黑体"/>
          <w:spacing w:val="8"/>
        </w:rPr>
        <w:t>排污混合区范围之外不造成污染物浓度超标，能满足二类海水水质标准，不会对</w:t>
      </w:r>
    </w:p>
    <w:p>
      <w:pPr>
        <w:pStyle w:val="2"/>
        <w:spacing w:before="1" w:line="219" w:lineRule="auto"/>
        <w:ind w:left="424"/>
      </w:pPr>
      <w:r>
        <w:rPr>
          <w:spacing w:val="10"/>
        </w:rPr>
        <w:t>所在近岸海域环境功能区造成明显影响。</w:t>
      </w:r>
    </w:p>
    <w:p>
      <w:pPr>
        <w:pStyle w:val="2"/>
        <w:spacing w:before="201" w:line="219" w:lineRule="auto"/>
        <w:ind w:left="845"/>
      </w:pPr>
      <w:r>
        <w:rPr>
          <w:spacing w:val="6"/>
        </w:rPr>
        <w:t>五、</w:t>
      </w:r>
      <w:r>
        <w:rPr>
          <w:spacing w:val="-42"/>
        </w:rPr>
        <w:t xml:space="preserve"> </w:t>
      </w:r>
      <w:r>
        <w:rPr>
          <w:spacing w:val="6"/>
        </w:rPr>
        <w:t>环境管理与保护措施</w:t>
      </w:r>
    </w:p>
    <w:p>
      <w:pPr>
        <w:pStyle w:val="2"/>
        <w:spacing w:before="179" w:line="396" w:lineRule="auto"/>
        <w:ind w:left="319" w:right="1438" w:firstLine="525"/>
      </w:pPr>
      <w:r>
        <w:rPr>
          <w:spacing w:val="3"/>
        </w:rPr>
        <w:t>本项目入海排污口设置严格执行《排污口规范化整治技术要求</w:t>
      </w:r>
      <w:r>
        <w:rPr>
          <w:spacing w:val="2"/>
        </w:rPr>
        <w:t xml:space="preserve">(试行)》、《排 </w:t>
      </w:r>
      <w:r>
        <w:rPr>
          <w:spacing w:val="13"/>
        </w:rPr>
        <w:t>污许可管理办法(试行)》、《排污许可证申请与核发技术规范水处理(试行)》、</w:t>
      </w:r>
      <w:r>
        <w:rPr>
          <w:spacing w:val="18"/>
        </w:rPr>
        <w:t xml:space="preserve"> </w:t>
      </w:r>
      <w:r>
        <w:rPr>
          <w:spacing w:val="9"/>
        </w:rPr>
        <w:t>《辽宁省入海排污口备案管理规定(试行)》、《大连市入海排污口备案和监督管</w:t>
      </w:r>
    </w:p>
    <w:p>
      <w:pPr>
        <w:pStyle w:val="2"/>
        <w:spacing w:line="219" w:lineRule="auto"/>
        <w:ind w:left="424"/>
      </w:pPr>
      <w:r>
        <w:rPr>
          <w:spacing w:val="17"/>
        </w:rPr>
        <w:t>理细则(试行)》等相关管理要求。</w:t>
      </w:r>
    </w:p>
    <w:p>
      <w:pPr>
        <w:pStyle w:val="2"/>
        <w:spacing w:before="212" w:line="221" w:lineRule="auto"/>
        <w:ind w:left="845"/>
      </w:pPr>
      <w:r>
        <w:rPr>
          <w:spacing w:val="-8"/>
        </w:rPr>
        <w:t>六</w:t>
      </w:r>
      <w:r>
        <w:rPr>
          <w:spacing w:val="10"/>
        </w:rPr>
        <w:t xml:space="preserve"> </w:t>
      </w:r>
      <w:r>
        <w:rPr>
          <w:spacing w:val="-8"/>
        </w:rPr>
        <w:t>、联系方式</w:t>
      </w:r>
    </w:p>
    <w:p>
      <w:pPr>
        <w:pStyle w:val="2"/>
        <w:spacing w:before="166" w:line="512" w:lineRule="exact"/>
        <w:ind w:left="845"/>
      </w:pPr>
      <w:r>
        <w:rPr>
          <w:spacing w:val="10"/>
          <w:position w:val="23"/>
        </w:rPr>
        <w:t>公众对于本项目上述方面的任何意见和建议可以与建设单位联系，联系方式</w:t>
      </w:r>
    </w:p>
    <w:p>
      <w:pPr>
        <w:pStyle w:val="2"/>
        <w:spacing w:line="220" w:lineRule="auto"/>
        <w:ind w:left="424"/>
      </w:pPr>
      <w:r>
        <w:rPr>
          <w:spacing w:val="-8"/>
        </w:rPr>
        <w:t>如下：</w:t>
      </w:r>
    </w:p>
    <w:p>
      <w:pPr>
        <w:pStyle w:val="2"/>
        <w:spacing w:before="210" w:line="471" w:lineRule="exact"/>
        <w:ind w:left="835"/>
        <w:rPr>
          <w:spacing w:val="2"/>
          <w:position w:val="20"/>
        </w:rPr>
      </w:pPr>
    </w:p>
    <w:p>
      <w:pPr>
        <w:pStyle w:val="2"/>
        <w:spacing w:before="210" w:line="471" w:lineRule="exact"/>
        <w:ind w:left="835"/>
        <w:rPr>
          <w:rFonts w:hint="default" w:eastAsia="宋体"/>
          <w:b/>
          <w:bCs/>
          <w:lang w:val="en-US" w:eastAsia="zh-CN"/>
        </w:rPr>
      </w:pPr>
      <w:r>
        <w:rPr>
          <w:b/>
          <w:bCs/>
          <w:spacing w:val="2"/>
          <w:position w:val="20"/>
        </w:rPr>
        <w:t>建设单位：</w:t>
      </w:r>
      <w:r>
        <w:rPr>
          <w:rFonts w:hint="eastAsia"/>
          <w:b/>
          <w:bCs/>
          <w:spacing w:val="2"/>
          <w:position w:val="20"/>
          <w:lang w:val="en-US" w:eastAsia="zh-CN"/>
        </w:rPr>
        <w:t>大连德海水产有限公司</w:t>
      </w:r>
    </w:p>
    <w:p>
      <w:pPr>
        <w:pStyle w:val="2"/>
        <w:spacing w:before="1" w:line="221" w:lineRule="auto"/>
        <w:ind w:left="845"/>
        <w:rPr>
          <w:b/>
          <w:bCs/>
          <w:spacing w:val="-1"/>
        </w:rPr>
      </w:pPr>
    </w:p>
    <w:p>
      <w:pPr>
        <w:pStyle w:val="2"/>
        <w:spacing w:before="1" w:line="221" w:lineRule="auto"/>
        <w:ind w:left="845"/>
        <w:rPr>
          <w:rFonts w:hint="eastAsia" w:eastAsia="宋体"/>
          <w:b/>
          <w:bCs/>
          <w:lang w:val="en-US" w:eastAsia="zh-CN"/>
        </w:rPr>
      </w:pPr>
      <w:r>
        <w:rPr>
          <w:b/>
          <w:bCs/>
          <w:spacing w:val="-1"/>
        </w:rPr>
        <w:t>联系人：</w:t>
      </w:r>
      <w:r>
        <w:rPr>
          <w:rFonts w:hint="eastAsia"/>
          <w:b/>
          <w:bCs/>
          <w:spacing w:val="-1"/>
          <w:lang w:val="en-US" w:eastAsia="zh-CN"/>
        </w:rPr>
        <w:t>赵总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69" w:line="249" w:lineRule="auto"/>
        <w:ind w:left="8346" w:hanging="61"/>
        <w:rPr>
          <w:rFonts w:ascii="Arial" w:hAnsi="Arial" w:eastAsia="Arial" w:cs="Arial"/>
          <w:sz w:val="11"/>
          <w:szCs w:val="11"/>
        </w:rPr>
      </w:pPr>
      <w:r>
        <w:rPr>
          <w:rFonts w:ascii="黑体" w:hAnsi="黑体" w:eastAsia="黑体" w:cs="黑体"/>
          <w:position w:val="-6"/>
        </w:rPr>
        <w:drawing>
          <wp:inline distT="0" distB="0" distL="0" distR="0">
            <wp:extent cx="215265" cy="2025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889" cy="20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-17"/>
        </w:rPr>
        <w:t>扫描全能王</w:t>
      </w:r>
      <w:r>
        <w:rPr>
          <w:rFonts w:ascii="黑体" w:hAnsi="黑体" w:eastAsia="黑体" w:cs="黑体"/>
          <w:spacing w:val="2"/>
        </w:rPr>
        <w:t xml:space="preserve"> </w:t>
      </w:r>
      <w:r>
        <w:rPr>
          <w:b/>
          <w:bCs/>
          <w:spacing w:val="11"/>
          <w:sz w:val="11"/>
          <w:szCs w:val="11"/>
        </w:rPr>
        <w:t>3亿人都在用的扫描</w:t>
      </w:r>
      <w:r>
        <w:rPr>
          <w:rFonts w:ascii="Arial" w:hAnsi="Arial" w:eastAsia="Arial" w:cs="Arial"/>
          <w:b/>
          <w:bCs/>
          <w:sz w:val="11"/>
          <w:szCs w:val="11"/>
        </w:rPr>
        <w:t>App</w:t>
      </w:r>
    </w:p>
    <w:p>
      <w:pPr>
        <w:spacing w:line="247" w:lineRule="auto"/>
        <w:ind w:firstLine="840" w:firstLineChars="400"/>
        <w:rPr>
          <w:rFonts w:hint="default" w:eastAsia="宋体"/>
          <w:sz w:val="23"/>
          <w:szCs w:val="23"/>
          <w:lang w:val="en-US" w:eastAsia="zh-CN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4514850</wp:posOffset>
            </wp:positionH>
            <wp:positionV relativeFrom="page">
              <wp:posOffset>488315</wp:posOffset>
            </wp:positionV>
            <wp:extent cx="1466850" cy="15176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67" cy="151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3"/>
          <w:sz w:val="23"/>
          <w:szCs w:val="23"/>
        </w:rPr>
        <w:t>联系电话：</w:t>
      </w:r>
      <w:r>
        <w:rPr>
          <w:rFonts w:hint="eastAsia" w:eastAsia="宋体"/>
          <w:b/>
          <w:bCs/>
          <w:spacing w:val="-13"/>
          <w:sz w:val="23"/>
          <w:szCs w:val="23"/>
          <w:lang w:val="en-US" w:eastAsia="zh-CN"/>
        </w:rPr>
        <w:t>13236913298</w:t>
      </w:r>
    </w:p>
    <w:p>
      <w:pPr>
        <w:pStyle w:val="2"/>
        <w:spacing w:before="192" w:line="220" w:lineRule="auto"/>
        <w:ind w:left="898"/>
        <w:rPr>
          <w:rFonts w:hint="default" w:eastAsia="宋体"/>
          <w:sz w:val="23"/>
          <w:szCs w:val="23"/>
          <w:lang w:val="en-US" w:eastAsia="zh-CN"/>
        </w:rPr>
      </w:pPr>
      <w:r>
        <w:rPr>
          <w:b/>
          <w:bCs/>
          <w:spacing w:val="-20"/>
          <w:sz w:val="23"/>
          <w:szCs w:val="23"/>
        </w:rPr>
        <w:t>邮箱：</w:t>
      </w:r>
      <w:r>
        <w:rPr>
          <w:rFonts w:hint="eastAsia"/>
          <w:b/>
          <w:bCs/>
          <w:spacing w:val="-20"/>
          <w:sz w:val="23"/>
          <w:szCs w:val="23"/>
          <w:lang w:val="en-US" w:eastAsia="zh-CN"/>
        </w:rPr>
        <w:t>qz13236913298@163.com</w:t>
      </w:r>
      <w:bookmarkStart w:id="0" w:name="_GoBack"/>
      <w:bookmarkEnd w:id="0"/>
    </w:p>
    <w:p>
      <w:pPr>
        <w:pStyle w:val="2"/>
        <w:spacing w:before="175" w:line="220" w:lineRule="auto"/>
        <w:ind w:left="898"/>
        <w:rPr>
          <w:sz w:val="23"/>
          <w:szCs w:val="23"/>
        </w:rPr>
      </w:pPr>
      <w:r>
        <w:rPr>
          <w:b/>
          <w:bCs/>
          <w:spacing w:val="2"/>
          <w:sz w:val="23"/>
          <w:szCs w:val="23"/>
        </w:rPr>
        <w:t>公示有效期：10天</w:t>
      </w:r>
    </w:p>
    <w:p>
      <w:pPr>
        <w:pStyle w:val="2"/>
        <w:spacing w:before="185" w:line="219" w:lineRule="auto"/>
        <w:ind w:left="898"/>
        <w:rPr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>七、公众提出意见的主要方式</w:t>
      </w:r>
    </w:p>
    <w:p>
      <w:pPr>
        <w:pStyle w:val="2"/>
        <w:spacing w:before="135" w:line="461" w:lineRule="exact"/>
        <w:ind w:left="898"/>
        <w:rPr>
          <w:sz w:val="23"/>
          <w:szCs w:val="23"/>
        </w:rPr>
      </w:pPr>
      <w:r>
        <w:rPr>
          <w:b/>
          <w:bCs/>
          <w:spacing w:val="-4"/>
          <w:position w:val="17"/>
          <w:sz w:val="23"/>
          <w:szCs w:val="23"/>
        </w:rPr>
        <w:t>您对本项目持何种态度，请自本公告发布之日起10个工作日内，以信函、</w:t>
      </w:r>
    </w:p>
    <w:p>
      <w:pPr>
        <w:pStyle w:val="2"/>
        <w:spacing w:line="218" w:lineRule="auto"/>
        <w:ind w:left="434"/>
        <w:rPr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3"/>
          <w:szCs w:val="23"/>
        </w:rPr>
        <w:t>email</w:t>
      </w:r>
      <w:r>
        <w:rPr>
          <w:rFonts w:ascii="Times New Roman" w:hAnsi="Times New Roman" w:eastAsia="Times New Roman" w:cs="Times New Roman"/>
          <w:b/>
          <w:bCs/>
          <w:spacing w:val="-26"/>
          <w:sz w:val="23"/>
          <w:szCs w:val="23"/>
        </w:rPr>
        <w:t xml:space="preserve"> </w:t>
      </w:r>
      <w:r>
        <w:rPr>
          <w:b/>
          <w:bCs/>
          <w:spacing w:val="-6"/>
          <w:sz w:val="23"/>
          <w:szCs w:val="23"/>
        </w:rPr>
        <w:t>、电话等方式反馈，并简要说明理由。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66" w:line="232" w:lineRule="auto"/>
        <w:ind w:left="8346" w:hanging="91"/>
        <w:rPr>
          <w:rFonts w:ascii="Arial" w:hAnsi="Arial" w:eastAsia="Arial" w:cs="Arial"/>
          <w:sz w:val="11"/>
          <w:szCs w:val="11"/>
        </w:rPr>
      </w:pPr>
      <w:r>
        <w:rPr>
          <w:rFonts w:ascii="黑体" w:hAnsi="黑体" w:eastAsia="黑体" w:cs="黑体"/>
          <w:position w:val="-9"/>
          <w:sz w:val="20"/>
          <w:szCs w:val="20"/>
        </w:rPr>
        <w:drawing>
          <wp:inline distT="0" distB="0" distL="0" distR="0">
            <wp:extent cx="240665" cy="2413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279" cy="2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-9"/>
          <w:sz w:val="20"/>
          <w:szCs w:val="20"/>
        </w:rPr>
        <w:t>扫描全能王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</w:t>
      </w:r>
      <w:r>
        <w:rPr>
          <w:b/>
          <w:bCs/>
          <w:spacing w:val="11"/>
          <w:sz w:val="11"/>
          <w:szCs w:val="11"/>
        </w:rPr>
        <w:t>3亿人都在用的扫描</w:t>
      </w:r>
      <w:r>
        <w:rPr>
          <w:rFonts w:ascii="Arial" w:hAnsi="Arial" w:eastAsia="Arial" w:cs="Arial"/>
          <w:b/>
          <w:bCs/>
          <w:sz w:val="11"/>
          <w:szCs w:val="11"/>
        </w:rPr>
        <w:t>App</w:t>
      </w:r>
    </w:p>
    <w:sectPr>
      <w:headerReference r:id="rId6" w:type="default"/>
      <w:pgSz w:w="11900" w:h="16840"/>
      <w:pgMar w:top="400" w:right="50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hNGVjOThlMWY0NGNjMjUzY2FkZDgxNTNkYWZkNDYifQ=="/>
  </w:docVars>
  <w:rsids>
    <w:rsidRoot w:val="00000000"/>
    <w:rsid w:val="737B3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2023-12-28T08:09:00Z</dcterms:created>
  <dc:creator>Kingsoft-PDF</dc:creator>
  <cp:lastModifiedBy>文档存本地丢失不负责</cp:lastModifiedBy>
  <dcterms:modified xsi:type="dcterms:W3CDTF">2024-01-08T01:01:47Z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2023-12-28T08:09:34Z</vt:filetime>
  </property>
  <property fmtid="{D5CDD505-2E9C-101B-9397-08002B2CF9AE}" pid="4" name="UsrData">
    <vt:lpwstr>658cbcba4d394d001fe6e9a4wl</vt:lpwstr>
  </property>
  <property fmtid="{D5CDD505-2E9C-101B-9397-08002B2CF9AE}" pid="5" name="KSOProductBuildVer">
    <vt:lpwstr>2052-12.1.0.16120</vt:lpwstr>
  </property>
  <property fmtid="{D5CDD505-2E9C-101B-9397-08002B2CF9AE}" pid="6" name="ICV">
    <vt:lpwstr>022FAA8185874ADEA6EF0145160AB2E0_12</vt:lpwstr>
  </property>
</Properties>
</file>